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220BB" w14:textId="77777777" w:rsidR="00F02C71" w:rsidRDefault="00F02C71" w:rsidP="00F02C71">
      <w:pPr>
        <w:jc w:val="center"/>
        <w:rPr>
          <w:rFonts w:ascii="Times New Roman" w:hAnsi="Times New Roman" w:cs="Times New Roman"/>
          <w:sz w:val="24"/>
          <w:szCs w:val="24"/>
        </w:rPr>
      </w:pPr>
    </w:p>
    <w:p w14:paraId="38D392E2" w14:textId="77777777" w:rsidR="00F02C71" w:rsidRDefault="00F02C71" w:rsidP="00F02C71">
      <w:pPr>
        <w:jc w:val="center"/>
        <w:rPr>
          <w:rFonts w:ascii="Times New Roman" w:hAnsi="Times New Roman" w:cs="Times New Roman"/>
          <w:sz w:val="24"/>
          <w:szCs w:val="24"/>
        </w:rPr>
      </w:pPr>
    </w:p>
    <w:p w14:paraId="2ABC3AE5" w14:textId="77777777" w:rsidR="00F02C71" w:rsidRDefault="00F02C71" w:rsidP="00F02C71">
      <w:pPr>
        <w:jc w:val="center"/>
        <w:rPr>
          <w:rFonts w:ascii="Times New Roman" w:hAnsi="Times New Roman" w:cs="Times New Roman"/>
          <w:sz w:val="24"/>
          <w:szCs w:val="24"/>
        </w:rPr>
      </w:pPr>
    </w:p>
    <w:p w14:paraId="43D8487A" w14:textId="77777777" w:rsidR="00F02C71" w:rsidRDefault="00F02C71" w:rsidP="00F02C71">
      <w:pPr>
        <w:jc w:val="center"/>
        <w:rPr>
          <w:rFonts w:ascii="Times New Roman" w:hAnsi="Times New Roman" w:cs="Times New Roman"/>
          <w:sz w:val="24"/>
          <w:szCs w:val="24"/>
        </w:rPr>
      </w:pPr>
    </w:p>
    <w:p w14:paraId="3DC444D2" w14:textId="77777777" w:rsidR="00F02C71" w:rsidRDefault="00F02C71" w:rsidP="00F02C71">
      <w:pPr>
        <w:jc w:val="center"/>
        <w:rPr>
          <w:rFonts w:ascii="Times New Roman" w:hAnsi="Times New Roman" w:cs="Times New Roman"/>
          <w:sz w:val="24"/>
          <w:szCs w:val="24"/>
        </w:rPr>
      </w:pPr>
    </w:p>
    <w:p w14:paraId="309386ED" w14:textId="77777777" w:rsidR="00F02C71" w:rsidRDefault="00F02C71" w:rsidP="00F02C71">
      <w:pPr>
        <w:jc w:val="center"/>
        <w:rPr>
          <w:rFonts w:ascii="Times New Roman" w:hAnsi="Times New Roman" w:cs="Times New Roman"/>
          <w:sz w:val="24"/>
          <w:szCs w:val="24"/>
        </w:rPr>
      </w:pPr>
    </w:p>
    <w:p w14:paraId="09BD0443" w14:textId="26AC0EB6" w:rsidR="003D16A1" w:rsidRDefault="00720D91" w:rsidP="00F02C71">
      <w:pPr>
        <w:jc w:val="center"/>
        <w:rPr>
          <w:rFonts w:ascii="Times New Roman" w:hAnsi="Times New Roman" w:cs="Times New Roman"/>
          <w:sz w:val="24"/>
          <w:szCs w:val="24"/>
        </w:rPr>
      </w:pPr>
      <w:r w:rsidRPr="00F02C71">
        <w:rPr>
          <w:rFonts w:ascii="Times New Roman" w:hAnsi="Times New Roman" w:cs="Times New Roman"/>
          <w:sz w:val="24"/>
          <w:szCs w:val="24"/>
        </w:rPr>
        <w:t>Australian Law</w:t>
      </w:r>
    </w:p>
    <w:p w14:paraId="709EFE45" w14:textId="0DEBAE9B" w:rsidR="00F02C71" w:rsidRDefault="00F02C71" w:rsidP="00F02C71">
      <w:pPr>
        <w:jc w:val="center"/>
        <w:rPr>
          <w:rFonts w:ascii="Times New Roman" w:hAnsi="Times New Roman" w:cs="Times New Roman"/>
          <w:sz w:val="24"/>
          <w:szCs w:val="24"/>
        </w:rPr>
      </w:pPr>
      <w:r>
        <w:rPr>
          <w:rFonts w:ascii="Times New Roman" w:hAnsi="Times New Roman" w:cs="Times New Roman"/>
          <w:sz w:val="24"/>
          <w:szCs w:val="24"/>
        </w:rPr>
        <w:t>[Name]</w:t>
      </w:r>
    </w:p>
    <w:p w14:paraId="3FA210C6" w14:textId="6F14E014" w:rsidR="00F02C71" w:rsidRDefault="00F02C71" w:rsidP="00F02C71">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7BE4B01" w14:textId="5BC58890" w:rsidR="00F02C71" w:rsidRDefault="00F02C71" w:rsidP="00F02C71">
      <w:pPr>
        <w:jc w:val="center"/>
        <w:rPr>
          <w:rFonts w:ascii="Times New Roman" w:hAnsi="Times New Roman" w:cs="Times New Roman"/>
          <w:sz w:val="24"/>
          <w:szCs w:val="24"/>
        </w:rPr>
      </w:pPr>
      <w:r>
        <w:rPr>
          <w:rFonts w:ascii="Times New Roman" w:hAnsi="Times New Roman" w:cs="Times New Roman"/>
          <w:sz w:val="24"/>
          <w:szCs w:val="24"/>
        </w:rPr>
        <w:t>[Course]</w:t>
      </w:r>
    </w:p>
    <w:p w14:paraId="48C84AF9" w14:textId="5269047C" w:rsidR="00F02C71" w:rsidRPr="00F02C71" w:rsidRDefault="00F02C71" w:rsidP="00F02C71">
      <w:pPr>
        <w:jc w:val="center"/>
        <w:rPr>
          <w:rFonts w:ascii="Times New Roman" w:hAnsi="Times New Roman" w:cs="Times New Roman"/>
          <w:sz w:val="24"/>
          <w:szCs w:val="24"/>
        </w:rPr>
      </w:pPr>
      <w:r>
        <w:rPr>
          <w:rFonts w:ascii="Times New Roman" w:hAnsi="Times New Roman" w:cs="Times New Roman"/>
          <w:sz w:val="24"/>
          <w:szCs w:val="24"/>
        </w:rPr>
        <w:t>[Date]</w:t>
      </w:r>
    </w:p>
    <w:p w14:paraId="404F8295" w14:textId="77777777" w:rsidR="00F02C71" w:rsidRDefault="00F02C71">
      <w:pPr>
        <w:rPr>
          <w:rFonts w:ascii="Times New Roman" w:hAnsi="Times New Roman" w:cs="Times New Roman"/>
          <w:sz w:val="24"/>
          <w:szCs w:val="24"/>
        </w:rPr>
      </w:pPr>
    </w:p>
    <w:p w14:paraId="5D7BF8DF" w14:textId="77777777" w:rsidR="00F02C71" w:rsidRDefault="00F02C71">
      <w:pPr>
        <w:rPr>
          <w:rFonts w:ascii="Times New Roman" w:hAnsi="Times New Roman" w:cs="Times New Roman"/>
          <w:sz w:val="24"/>
          <w:szCs w:val="24"/>
        </w:rPr>
      </w:pPr>
    </w:p>
    <w:p w14:paraId="4DAA270E" w14:textId="77777777" w:rsidR="00F02C71" w:rsidRDefault="00F02C71">
      <w:pPr>
        <w:rPr>
          <w:rFonts w:ascii="Times New Roman" w:hAnsi="Times New Roman" w:cs="Times New Roman"/>
          <w:sz w:val="24"/>
          <w:szCs w:val="24"/>
        </w:rPr>
      </w:pPr>
    </w:p>
    <w:p w14:paraId="5CB6BEB2" w14:textId="77777777" w:rsidR="00F02C71" w:rsidRDefault="00F02C71">
      <w:pPr>
        <w:rPr>
          <w:rFonts w:ascii="Times New Roman" w:hAnsi="Times New Roman" w:cs="Times New Roman"/>
          <w:sz w:val="24"/>
          <w:szCs w:val="24"/>
        </w:rPr>
      </w:pPr>
    </w:p>
    <w:p w14:paraId="5020AB84" w14:textId="77777777" w:rsidR="00F02C71" w:rsidRDefault="00F02C71">
      <w:pPr>
        <w:rPr>
          <w:rFonts w:ascii="Times New Roman" w:hAnsi="Times New Roman" w:cs="Times New Roman"/>
          <w:sz w:val="24"/>
          <w:szCs w:val="24"/>
        </w:rPr>
      </w:pPr>
    </w:p>
    <w:p w14:paraId="6A0D8636" w14:textId="77777777" w:rsidR="00F02C71" w:rsidRDefault="00F02C71">
      <w:pPr>
        <w:rPr>
          <w:rFonts w:ascii="Times New Roman" w:hAnsi="Times New Roman" w:cs="Times New Roman"/>
          <w:sz w:val="24"/>
          <w:szCs w:val="24"/>
        </w:rPr>
      </w:pPr>
    </w:p>
    <w:p w14:paraId="49BB49C7" w14:textId="77777777" w:rsidR="00F02C71" w:rsidRDefault="00F02C71">
      <w:pPr>
        <w:rPr>
          <w:rFonts w:ascii="Times New Roman" w:hAnsi="Times New Roman" w:cs="Times New Roman"/>
          <w:sz w:val="24"/>
          <w:szCs w:val="24"/>
        </w:rPr>
      </w:pPr>
    </w:p>
    <w:p w14:paraId="6E53BF4C" w14:textId="77777777" w:rsidR="00F02C71" w:rsidRDefault="00F02C71">
      <w:pPr>
        <w:rPr>
          <w:rFonts w:ascii="Times New Roman" w:hAnsi="Times New Roman" w:cs="Times New Roman"/>
          <w:sz w:val="24"/>
          <w:szCs w:val="24"/>
        </w:rPr>
      </w:pPr>
    </w:p>
    <w:p w14:paraId="05B4B45E" w14:textId="77777777" w:rsidR="00F02C71" w:rsidRDefault="00F02C71">
      <w:pPr>
        <w:rPr>
          <w:rFonts w:ascii="Times New Roman" w:hAnsi="Times New Roman" w:cs="Times New Roman"/>
          <w:sz w:val="24"/>
          <w:szCs w:val="24"/>
        </w:rPr>
      </w:pPr>
    </w:p>
    <w:p w14:paraId="1BB2195D" w14:textId="77777777" w:rsidR="00F02C71" w:rsidRDefault="00F02C71">
      <w:pPr>
        <w:rPr>
          <w:rFonts w:ascii="Times New Roman" w:hAnsi="Times New Roman" w:cs="Times New Roman"/>
          <w:sz w:val="24"/>
          <w:szCs w:val="24"/>
        </w:rPr>
      </w:pPr>
    </w:p>
    <w:p w14:paraId="4AA55AFD" w14:textId="77777777" w:rsidR="00F02C71" w:rsidRDefault="00F02C71">
      <w:pPr>
        <w:rPr>
          <w:rFonts w:ascii="Times New Roman" w:hAnsi="Times New Roman" w:cs="Times New Roman"/>
          <w:sz w:val="24"/>
          <w:szCs w:val="24"/>
        </w:rPr>
      </w:pPr>
    </w:p>
    <w:p w14:paraId="5894A22F" w14:textId="77777777" w:rsidR="00F02C71" w:rsidRDefault="00F02C71">
      <w:pPr>
        <w:rPr>
          <w:rFonts w:ascii="Times New Roman" w:hAnsi="Times New Roman" w:cs="Times New Roman"/>
          <w:sz w:val="24"/>
          <w:szCs w:val="24"/>
        </w:rPr>
      </w:pPr>
    </w:p>
    <w:p w14:paraId="0D71D2F5" w14:textId="77777777" w:rsidR="00F02C71" w:rsidRDefault="00F02C71">
      <w:pPr>
        <w:rPr>
          <w:rFonts w:ascii="Times New Roman" w:hAnsi="Times New Roman" w:cs="Times New Roman"/>
          <w:sz w:val="24"/>
          <w:szCs w:val="24"/>
        </w:rPr>
      </w:pPr>
    </w:p>
    <w:p w14:paraId="15E0683D" w14:textId="77777777" w:rsidR="00F02C71" w:rsidRDefault="00F02C71">
      <w:pPr>
        <w:rPr>
          <w:rFonts w:ascii="Times New Roman" w:hAnsi="Times New Roman" w:cs="Times New Roman"/>
          <w:sz w:val="24"/>
          <w:szCs w:val="24"/>
        </w:rPr>
      </w:pPr>
    </w:p>
    <w:p w14:paraId="232E73EC" w14:textId="77777777" w:rsidR="00F02C71" w:rsidRDefault="00F02C71">
      <w:pPr>
        <w:rPr>
          <w:rFonts w:ascii="Times New Roman" w:hAnsi="Times New Roman" w:cs="Times New Roman"/>
          <w:sz w:val="24"/>
          <w:szCs w:val="24"/>
        </w:rPr>
      </w:pPr>
    </w:p>
    <w:p w14:paraId="57A987AE" w14:textId="77777777" w:rsidR="00F02C71" w:rsidRDefault="00F02C71">
      <w:pPr>
        <w:rPr>
          <w:rFonts w:ascii="Times New Roman" w:hAnsi="Times New Roman" w:cs="Times New Roman"/>
          <w:sz w:val="24"/>
          <w:szCs w:val="24"/>
        </w:rPr>
      </w:pPr>
    </w:p>
    <w:p w14:paraId="11B48ECB" w14:textId="77777777" w:rsidR="00F02C71" w:rsidRDefault="00F02C71">
      <w:pPr>
        <w:rPr>
          <w:rFonts w:ascii="Times New Roman" w:hAnsi="Times New Roman" w:cs="Times New Roman"/>
          <w:sz w:val="24"/>
          <w:szCs w:val="24"/>
        </w:rPr>
      </w:pPr>
    </w:p>
    <w:p w14:paraId="4D2FF953" w14:textId="3FF76A44" w:rsidR="00D30701" w:rsidRPr="00F02C71" w:rsidRDefault="00D30701" w:rsidP="00F02C71">
      <w:pPr>
        <w:jc w:val="both"/>
        <w:rPr>
          <w:rFonts w:ascii="Times New Roman" w:hAnsi="Times New Roman" w:cs="Times New Roman"/>
          <w:sz w:val="24"/>
          <w:szCs w:val="24"/>
        </w:rPr>
      </w:pPr>
      <w:r w:rsidRPr="00F02C71">
        <w:rPr>
          <w:rFonts w:ascii="Times New Roman" w:hAnsi="Times New Roman" w:cs="Times New Roman"/>
          <w:sz w:val="24"/>
          <w:szCs w:val="24"/>
        </w:rPr>
        <w:lastRenderedPageBreak/>
        <w:t>Advising Denny calls upon understanding application of law concerning Shirley’s last will, with the law of jurisdiction governing where Shirley lived at the time of her death. Therefore, the probate court literally need to verify if Shirley’s last will was correctly signed &amp; witnessed or executed</w:t>
      </w:r>
      <w:r w:rsidR="00F02C71" w:rsidRPr="00F02C71">
        <w:rPr>
          <w:rFonts w:ascii="Times New Roman" w:hAnsi="Times New Roman" w:cs="Times New Roman"/>
          <w:sz w:val="24"/>
          <w:szCs w:val="24"/>
        </w:rPr>
        <w:t xml:space="preserve"> (</w:t>
      </w:r>
      <w:r w:rsidR="00F02C71" w:rsidRPr="00F02C71">
        <w:rPr>
          <w:rFonts w:ascii="Times New Roman" w:eastAsia="Arial Unicode MS" w:hAnsi="Times New Roman" w:cs="Times New Roman"/>
          <w:color w:val="000000"/>
          <w:sz w:val="24"/>
          <w:szCs w:val="24"/>
          <w:shd w:val="clear" w:color="auto" w:fill="FFFFFF"/>
        </w:rPr>
        <w:t>Kessler</w:t>
      </w:r>
      <w:r w:rsidR="00F02C71" w:rsidRPr="00F02C71">
        <w:rPr>
          <w:rFonts w:ascii="Times New Roman" w:eastAsia="Arial Unicode MS" w:hAnsi="Times New Roman" w:cs="Times New Roman"/>
          <w:color w:val="000000"/>
          <w:sz w:val="24"/>
          <w:szCs w:val="24"/>
          <w:shd w:val="clear" w:color="auto" w:fill="FFFFFF"/>
        </w:rPr>
        <w:t xml:space="preserve"> </w:t>
      </w:r>
      <w:r w:rsidR="00F02C71" w:rsidRPr="00F02C71">
        <w:rPr>
          <w:rFonts w:ascii="Times New Roman" w:eastAsia="Arial Unicode MS" w:hAnsi="Times New Roman" w:cs="Times New Roman"/>
          <w:color w:val="000000"/>
          <w:sz w:val="24"/>
          <w:szCs w:val="24"/>
          <w:shd w:val="clear" w:color="auto" w:fill="FFFFFF"/>
        </w:rPr>
        <w:t>&amp; Flynn,</w:t>
      </w:r>
      <w:r w:rsidR="00F02C71" w:rsidRPr="00F02C71">
        <w:rPr>
          <w:rFonts w:ascii="Times New Roman" w:eastAsia="Arial Unicode MS" w:hAnsi="Times New Roman" w:cs="Times New Roman"/>
          <w:color w:val="000000"/>
          <w:sz w:val="24"/>
          <w:szCs w:val="24"/>
          <w:shd w:val="clear" w:color="auto" w:fill="FFFFFF"/>
        </w:rPr>
        <w:t xml:space="preserve"> </w:t>
      </w:r>
      <w:r w:rsidR="00F02C71" w:rsidRPr="00F02C71">
        <w:rPr>
          <w:rFonts w:ascii="Times New Roman" w:eastAsia="Arial Unicode MS" w:hAnsi="Times New Roman" w:cs="Times New Roman"/>
          <w:color w:val="000000"/>
          <w:sz w:val="24"/>
          <w:szCs w:val="24"/>
          <w:shd w:val="clear" w:color="auto" w:fill="FFFFFF"/>
        </w:rPr>
        <w:t>2008). </w:t>
      </w:r>
      <w:r w:rsidRPr="00F02C71">
        <w:rPr>
          <w:rFonts w:ascii="Times New Roman" w:hAnsi="Times New Roman" w:cs="Times New Roman"/>
          <w:sz w:val="24"/>
          <w:szCs w:val="24"/>
        </w:rPr>
        <w:t xml:space="preserve"> Under th</w:t>
      </w:r>
      <w:r w:rsidR="009D3ED9" w:rsidRPr="00F02C71">
        <w:rPr>
          <w:rFonts w:ascii="Times New Roman" w:hAnsi="Times New Roman" w:cs="Times New Roman"/>
          <w:sz w:val="24"/>
          <w:szCs w:val="24"/>
        </w:rPr>
        <w:t>is case,</w:t>
      </w:r>
      <w:r w:rsidRPr="00F02C71">
        <w:rPr>
          <w:rFonts w:ascii="Times New Roman" w:hAnsi="Times New Roman" w:cs="Times New Roman"/>
          <w:sz w:val="24"/>
          <w:szCs w:val="24"/>
        </w:rPr>
        <w:t xml:space="preserve"> Australian law </w:t>
      </w:r>
      <w:r w:rsidR="009D3ED9" w:rsidRPr="00F02C71">
        <w:rPr>
          <w:rFonts w:ascii="Times New Roman" w:hAnsi="Times New Roman" w:cs="Times New Roman"/>
          <w:sz w:val="24"/>
          <w:szCs w:val="24"/>
        </w:rPr>
        <w:t>jurisdiction must</w:t>
      </w:r>
      <w:r w:rsidRPr="00F02C71">
        <w:rPr>
          <w:rFonts w:ascii="Times New Roman" w:hAnsi="Times New Roman" w:cs="Times New Roman"/>
          <w:sz w:val="24"/>
          <w:szCs w:val="24"/>
        </w:rPr>
        <w:t xml:space="preserve"> verify that Shirley’s Last Will was executed in compliance </w:t>
      </w:r>
      <w:r w:rsidR="009D3ED9" w:rsidRPr="00F02C71">
        <w:rPr>
          <w:rFonts w:ascii="Times New Roman" w:hAnsi="Times New Roman" w:cs="Times New Roman"/>
          <w:sz w:val="24"/>
          <w:szCs w:val="24"/>
        </w:rPr>
        <w:t>with</w:t>
      </w:r>
      <w:r w:rsidRPr="00F02C71">
        <w:rPr>
          <w:rFonts w:ascii="Times New Roman" w:hAnsi="Times New Roman" w:cs="Times New Roman"/>
          <w:sz w:val="24"/>
          <w:szCs w:val="24"/>
        </w:rPr>
        <w:t xml:space="preserve"> the local law</w:t>
      </w:r>
      <w:r w:rsidR="009D3ED9" w:rsidRPr="00F02C71">
        <w:rPr>
          <w:rFonts w:ascii="Times New Roman" w:hAnsi="Times New Roman" w:cs="Times New Roman"/>
          <w:sz w:val="24"/>
          <w:szCs w:val="24"/>
        </w:rPr>
        <w:t>. Foremost, both Denny and Katie should understand how their joint proprietorship on the mortgage is administered concerning the secretive and uncooperative behavior bearing in mind that humans are naturally made to be mistrustful or inquisitive in case information is withheld from them</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Kessler &amp; Flynn, 2008).</w:t>
      </w:r>
      <w:r w:rsidR="00F02C71" w:rsidRPr="00F02C71">
        <w:rPr>
          <w:rFonts w:ascii="Times New Roman" w:eastAsia="Arial Unicode MS" w:hAnsi="Times New Roman" w:cs="Times New Roman"/>
          <w:color w:val="000000"/>
          <w:sz w:val="24"/>
          <w:szCs w:val="24"/>
          <w:shd w:val="clear" w:color="auto" w:fill="FFFFFF"/>
        </w:rPr>
        <w:t xml:space="preserve"> </w:t>
      </w:r>
      <w:r w:rsidR="009D3ED9" w:rsidRPr="00F02C71">
        <w:rPr>
          <w:rFonts w:ascii="Times New Roman" w:hAnsi="Times New Roman" w:cs="Times New Roman"/>
          <w:sz w:val="24"/>
          <w:szCs w:val="24"/>
        </w:rPr>
        <w:t xml:space="preserve">Therefore, Kasie is Shirley’s sole beneficiary and she has </w:t>
      </w:r>
      <w:r w:rsidR="003C628A" w:rsidRPr="00F02C71">
        <w:rPr>
          <w:rFonts w:ascii="Times New Roman" w:hAnsi="Times New Roman" w:cs="Times New Roman"/>
          <w:sz w:val="24"/>
          <w:szCs w:val="24"/>
        </w:rPr>
        <w:t>certain</w:t>
      </w:r>
      <w:r w:rsidR="009D3ED9" w:rsidRPr="00F02C71">
        <w:rPr>
          <w:rFonts w:ascii="Times New Roman" w:hAnsi="Times New Roman" w:cs="Times New Roman"/>
          <w:sz w:val="24"/>
          <w:szCs w:val="24"/>
        </w:rPr>
        <w:t xml:space="preserve"> significant rights that are </w:t>
      </w:r>
      <w:r w:rsidR="003C628A" w:rsidRPr="00F02C71">
        <w:rPr>
          <w:rFonts w:ascii="Times New Roman" w:hAnsi="Times New Roman" w:cs="Times New Roman"/>
          <w:sz w:val="24"/>
          <w:szCs w:val="24"/>
        </w:rPr>
        <w:t>protected</w:t>
      </w:r>
      <w:r w:rsidR="009D3ED9" w:rsidRPr="00F02C71">
        <w:rPr>
          <w:rFonts w:ascii="Times New Roman" w:hAnsi="Times New Roman" w:cs="Times New Roman"/>
          <w:sz w:val="24"/>
          <w:szCs w:val="24"/>
        </w:rPr>
        <w:t xml:space="preserve"> by the Australian Law. </w:t>
      </w:r>
      <w:r w:rsidR="003C628A" w:rsidRPr="00F02C71">
        <w:rPr>
          <w:rFonts w:ascii="Times New Roman" w:hAnsi="Times New Roman" w:cs="Times New Roman"/>
          <w:sz w:val="24"/>
          <w:szCs w:val="24"/>
        </w:rPr>
        <w:t>Before entering into a discussion concerning Katie as Shirley’s sole beneficiary in real estate, it is recommended to start by examining the type of relationship between Katie and the executor. In this case, an executor will stand in a fiduciary relationship to Katie as Shirley’s sole beneficiary making Katie central to her rights as a beneficiary and the executor’s obligation in the property</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Kessler &amp; Flynn, 2008).</w:t>
      </w:r>
      <w:r w:rsidR="00F02C71" w:rsidRPr="00F02C71">
        <w:rPr>
          <w:rFonts w:ascii="Times New Roman" w:eastAsia="Arial Unicode MS" w:hAnsi="Times New Roman" w:cs="Times New Roman"/>
          <w:color w:val="000000"/>
          <w:sz w:val="24"/>
          <w:szCs w:val="24"/>
          <w:shd w:val="clear" w:color="auto" w:fill="FFFFFF"/>
        </w:rPr>
        <w:t xml:space="preserve"> </w:t>
      </w:r>
      <w:r w:rsidR="003C628A" w:rsidRPr="00F02C71">
        <w:rPr>
          <w:rFonts w:ascii="Times New Roman" w:hAnsi="Times New Roman" w:cs="Times New Roman"/>
          <w:sz w:val="24"/>
          <w:szCs w:val="24"/>
        </w:rPr>
        <w:t xml:space="preserve">Given that the executor is entrusted with the property’s assets as well as the power to administer the property for the beneficiary’s benefit, the executor is supposed to discharge their duties following due loyalty and care to Katie as the beneficiary. </w:t>
      </w:r>
    </w:p>
    <w:p w14:paraId="262E58C1" w14:textId="6B8FB7BD" w:rsidR="003C628A" w:rsidRPr="00F02C71" w:rsidRDefault="003C628A" w:rsidP="00F02C71">
      <w:pPr>
        <w:jc w:val="both"/>
        <w:rPr>
          <w:rFonts w:ascii="Times New Roman" w:hAnsi="Times New Roman" w:cs="Times New Roman"/>
          <w:sz w:val="24"/>
          <w:szCs w:val="24"/>
        </w:rPr>
      </w:pPr>
      <w:r w:rsidRPr="00F02C71">
        <w:rPr>
          <w:rFonts w:ascii="Times New Roman" w:hAnsi="Times New Roman" w:cs="Times New Roman"/>
          <w:sz w:val="24"/>
          <w:szCs w:val="24"/>
        </w:rPr>
        <w:t xml:space="preserve">Given that Shirley had named Katie as the sole beneficiary in her will, </w:t>
      </w:r>
      <w:r w:rsidR="00E12FB0" w:rsidRPr="00F02C71">
        <w:rPr>
          <w:rFonts w:ascii="Times New Roman" w:hAnsi="Times New Roman" w:cs="Times New Roman"/>
          <w:sz w:val="24"/>
          <w:szCs w:val="24"/>
        </w:rPr>
        <w:t>Katie must be promptly informed about her entitlement on Shirley’s will. Failure to properly informing Katie about her entitlement in the Will makes the Australian law provide her with significant rights to access the information relating to her entitlement. One of these rights is the right to receive the Will’s copy. In both Queensland and New South Wales, the law compels an individual in control or possession of a will from the deceased to give the beneficiary a copy of the will</w:t>
      </w:r>
      <w:r w:rsidR="00F02C71" w:rsidRPr="00F02C71">
        <w:rPr>
          <w:rFonts w:ascii="Times New Roman" w:hAnsi="Times New Roman" w:cs="Times New Roman"/>
          <w:sz w:val="24"/>
          <w:szCs w:val="24"/>
        </w:rPr>
        <w:t xml:space="preserve"> (</w:t>
      </w:r>
      <w:r w:rsidR="00F02C71" w:rsidRPr="00F02C71">
        <w:rPr>
          <w:rFonts w:ascii="Times New Roman" w:eastAsia="Arial Unicode MS" w:hAnsi="Times New Roman" w:cs="Times New Roman"/>
          <w:color w:val="000000"/>
          <w:sz w:val="24"/>
          <w:szCs w:val="24"/>
          <w:shd w:val="clear" w:color="auto" w:fill="FFFFFF"/>
        </w:rPr>
        <w:t>CCH Australia Limited</w:t>
      </w:r>
      <w:r w:rsidR="00F02C71" w:rsidRPr="00F02C71">
        <w:rPr>
          <w:rFonts w:ascii="Times New Roman" w:eastAsia="Arial Unicode MS" w:hAnsi="Times New Roman" w:cs="Times New Roman"/>
          <w:color w:val="000000"/>
          <w:sz w:val="24"/>
          <w:szCs w:val="24"/>
          <w:shd w:val="clear" w:color="auto" w:fill="FFFFFF"/>
        </w:rPr>
        <w:t xml:space="preserve">, </w:t>
      </w:r>
      <w:r w:rsidR="00F02C71" w:rsidRPr="00F02C71">
        <w:rPr>
          <w:rFonts w:ascii="Times New Roman" w:eastAsia="Arial Unicode MS" w:hAnsi="Times New Roman" w:cs="Times New Roman"/>
          <w:color w:val="000000"/>
          <w:sz w:val="24"/>
          <w:szCs w:val="24"/>
          <w:shd w:val="clear" w:color="auto" w:fill="FFFFFF"/>
        </w:rPr>
        <w:t>2013). </w:t>
      </w:r>
      <w:r w:rsidR="00E12FB0" w:rsidRPr="00F02C71">
        <w:rPr>
          <w:rFonts w:ascii="Times New Roman" w:hAnsi="Times New Roman" w:cs="Times New Roman"/>
          <w:sz w:val="24"/>
          <w:szCs w:val="24"/>
        </w:rPr>
        <w:t xml:space="preserve">In this case, Katie will understand and define her interest in the joint ownership between Denny and Shirley who is the </w:t>
      </w:r>
      <w:r w:rsidR="00DB2267" w:rsidRPr="00F02C71">
        <w:rPr>
          <w:rFonts w:ascii="Times New Roman" w:hAnsi="Times New Roman" w:cs="Times New Roman"/>
          <w:sz w:val="24"/>
          <w:szCs w:val="24"/>
        </w:rPr>
        <w:t>testator since she is responsible for making the will. Therefore, Katie’s right to more information will be specifically defined by the nature of the interest in the Will. Notably, Denny should know that classifying the nature of Katie’s interest in the joint proprietorship may be a quite complex exercise because there is a difference between a beneficiary holding an interest in a specific asset (for example, Shirley’s bank account) and a beneficiary holding a remainder or residual interest in the mortgage</w:t>
      </w:r>
      <w:r w:rsidR="00AE3298" w:rsidRPr="00F02C71">
        <w:rPr>
          <w:rFonts w:ascii="Times New Roman" w:hAnsi="Times New Roman" w:cs="Times New Roman"/>
          <w:sz w:val="24"/>
          <w:szCs w:val="24"/>
        </w:rPr>
        <w:t xml:space="preserve"> property</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CCH Australia Limited, 2013). </w:t>
      </w:r>
    </w:p>
    <w:p w14:paraId="22D2C6D8" w14:textId="5460C91C" w:rsidR="00AE3298" w:rsidRPr="00F02C71" w:rsidRDefault="00AE3298" w:rsidP="00F02C71">
      <w:pPr>
        <w:jc w:val="both"/>
        <w:rPr>
          <w:rFonts w:ascii="Times New Roman" w:hAnsi="Times New Roman" w:cs="Times New Roman"/>
          <w:sz w:val="24"/>
          <w:szCs w:val="24"/>
        </w:rPr>
      </w:pPr>
      <w:r w:rsidRPr="00F02C71">
        <w:rPr>
          <w:rFonts w:ascii="Times New Roman" w:hAnsi="Times New Roman" w:cs="Times New Roman"/>
          <w:sz w:val="24"/>
          <w:szCs w:val="24"/>
        </w:rPr>
        <w:t>The right of the beneficiary to access information related to how the property was operated historically steeps in the English Law which has continuously being informing the Australian Law. For many years, the legal accepted principle is that the mortgage documents “</w:t>
      </w:r>
      <w:r w:rsidRPr="00F02C71">
        <w:rPr>
          <w:rFonts w:ascii="Times New Roman" w:hAnsi="Times New Roman" w:cs="Times New Roman"/>
          <w:i/>
          <w:iCs/>
          <w:sz w:val="24"/>
          <w:szCs w:val="24"/>
        </w:rPr>
        <w:t>belong</w:t>
      </w:r>
      <w:r w:rsidRPr="00F02C71">
        <w:rPr>
          <w:rFonts w:ascii="Times New Roman" w:hAnsi="Times New Roman" w:cs="Times New Roman"/>
          <w:sz w:val="24"/>
          <w:szCs w:val="24"/>
        </w:rPr>
        <w:t>” to the beneficiary in the sense that the beneficiary owns the property</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 xml:space="preserve">Kessler &amp; Flynn, 2008). </w:t>
      </w:r>
      <w:r w:rsidRPr="00F02C71">
        <w:rPr>
          <w:rFonts w:ascii="Times New Roman" w:hAnsi="Times New Roman" w:cs="Times New Roman"/>
          <w:sz w:val="24"/>
          <w:szCs w:val="24"/>
        </w:rPr>
        <w:t xml:space="preserve"> Therefore, Katie should not be denied access to such documents because it is her right as entitled by the law. Therefore, if Katie is specifically interested </w:t>
      </w:r>
      <w:r w:rsidR="0050307D" w:rsidRPr="00F02C71">
        <w:rPr>
          <w:rFonts w:ascii="Times New Roman" w:hAnsi="Times New Roman" w:cs="Times New Roman"/>
          <w:sz w:val="24"/>
          <w:szCs w:val="24"/>
        </w:rPr>
        <w:t>Shirley’s</w:t>
      </w:r>
      <w:r w:rsidRPr="00F02C71">
        <w:rPr>
          <w:rFonts w:ascii="Times New Roman" w:hAnsi="Times New Roman" w:cs="Times New Roman"/>
          <w:sz w:val="24"/>
          <w:szCs w:val="24"/>
        </w:rPr>
        <w:t xml:space="preserve"> bank account as per the will, then Denny should </w:t>
      </w:r>
      <w:r w:rsidR="0050307D" w:rsidRPr="00F02C71">
        <w:rPr>
          <w:rFonts w:ascii="Times New Roman" w:hAnsi="Times New Roman" w:cs="Times New Roman"/>
          <w:sz w:val="24"/>
          <w:szCs w:val="24"/>
        </w:rPr>
        <w:t>understand</w:t>
      </w:r>
      <w:r w:rsidRPr="00F02C71">
        <w:rPr>
          <w:rFonts w:ascii="Times New Roman" w:hAnsi="Times New Roman" w:cs="Times New Roman"/>
          <w:sz w:val="24"/>
          <w:szCs w:val="24"/>
        </w:rPr>
        <w:t xml:space="preserve"> that Katie has the right to </w:t>
      </w:r>
      <w:r w:rsidR="0050307D" w:rsidRPr="00F02C71">
        <w:rPr>
          <w:rFonts w:ascii="Times New Roman" w:hAnsi="Times New Roman" w:cs="Times New Roman"/>
          <w:sz w:val="24"/>
          <w:szCs w:val="24"/>
        </w:rPr>
        <w:t>be informed about the specific asset, and generally nothing more than that. Concomitantly, if Katie is supposed to receive a certain gift of maybe a car from the Will, she will be entitled to only access the related information to the car, like registration documents, among others</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Kessler &amp; Flynn, 2008).</w:t>
      </w:r>
    </w:p>
    <w:p w14:paraId="7A105E2C" w14:textId="5C54ABB1" w:rsidR="0050307D" w:rsidRPr="00F02C71" w:rsidRDefault="0050307D" w:rsidP="00F02C71">
      <w:pPr>
        <w:jc w:val="both"/>
        <w:rPr>
          <w:rFonts w:ascii="Times New Roman" w:hAnsi="Times New Roman" w:cs="Times New Roman"/>
          <w:sz w:val="24"/>
          <w:szCs w:val="24"/>
        </w:rPr>
      </w:pPr>
      <w:r w:rsidRPr="00F02C71">
        <w:rPr>
          <w:rFonts w:ascii="Times New Roman" w:hAnsi="Times New Roman" w:cs="Times New Roman"/>
          <w:sz w:val="24"/>
          <w:szCs w:val="24"/>
        </w:rPr>
        <w:lastRenderedPageBreak/>
        <w:t>The beneficiary’s right to holding a remainder or residual interest in a property remain broad given that he/she has the right to access the entire information concerning to the administration and management of the property in its entirety</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 xml:space="preserve">Kessler &amp; Flynn, 2008). </w:t>
      </w:r>
      <w:r w:rsidRPr="00F02C71">
        <w:rPr>
          <w:rFonts w:ascii="Times New Roman" w:hAnsi="Times New Roman" w:cs="Times New Roman"/>
          <w:sz w:val="24"/>
          <w:szCs w:val="24"/>
        </w:rPr>
        <w:t xml:space="preserve">Therefore, if Denny establishes that </w:t>
      </w:r>
      <w:r w:rsidR="008A3F78" w:rsidRPr="00F02C71">
        <w:rPr>
          <w:rFonts w:ascii="Times New Roman" w:hAnsi="Times New Roman" w:cs="Times New Roman"/>
          <w:sz w:val="24"/>
          <w:szCs w:val="24"/>
        </w:rPr>
        <w:t>Katie is entitled to an interest in the residual interest in the mortgage, Katie will have the right to accessing all the information concerning the property as well as see the mortgage documents given that Shirley contributed to 70% of the total loan. As a result, Katie should understand that each transaction occurring in the property will ultimately affect her interests if she is entitled to full accounting of the property as per the will</w:t>
      </w:r>
      <w:r w:rsidR="00F02C71" w:rsidRPr="00F02C71">
        <w:rPr>
          <w:rFonts w:ascii="Times New Roman" w:hAnsi="Times New Roman" w:cs="Times New Roman"/>
          <w:sz w:val="24"/>
          <w:szCs w:val="24"/>
        </w:rPr>
        <w:t xml:space="preserve"> </w:t>
      </w:r>
      <w:r w:rsidR="00F02C71" w:rsidRPr="00F02C71">
        <w:rPr>
          <w:rFonts w:ascii="Times New Roman" w:hAnsi="Times New Roman" w:cs="Times New Roman"/>
          <w:sz w:val="24"/>
          <w:szCs w:val="24"/>
        </w:rPr>
        <w:t>(</w:t>
      </w:r>
      <w:r w:rsidR="00F02C71" w:rsidRPr="00F02C71">
        <w:rPr>
          <w:rFonts w:ascii="Times New Roman" w:eastAsia="Arial Unicode MS" w:hAnsi="Times New Roman" w:cs="Times New Roman"/>
          <w:color w:val="000000"/>
          <w:sz w:val="24"/>
          <w:szCs w:val="24"/>
          <w:shd w:val="clear" w:color="auto" w:fill="FFFFFF"/>
        </w:rPr>
        <w:t xml:space="preserve">Kessler &amp; Flynn, 2008). </w:t>
      </w:r>
      <w:r w:rsidR="008A3F78" w:rsidRPr="00F02C71">
        <w:rPr>
          <w:rFonts w:ascii="Times New Roman" w:hAnsi="Times New Roman" w:cs="Times New Roman"/>
          <w:sz w:val="24"/>
          <w:szCs w:val="24"/>
        </w:rPr>
        <w:t xml:space="preserve">Overall, it is upon Denny to establish Katie’s interest in the will as Shirley’s sole beneficiary before concluding anything concerning their joint proprietorship with Shirley who had passed away after two years of the deal. </w:t>
      </w:r>
    </w:p>
    <w:p w14:paraId="074EEDBC" w14:textId="77777777" w:rsidR="00F02C71" w:rsidRDefault="00F02C71">
      <w:pPr>
        <w:rPr>
          <w:rFonts w:ascii="Times New Roman" w:hAnsi="Times New Roman" w:cs="Times New Roman"/>
          <w:b/>
          <w:bCs/>
          <w:sz w:val="24"/>
          <w:szCs w:val="24"/>
        </w:rPr>
      </w:pPr>
    </w:p>
    <w:p w14:paraId="5F00363F" w14:textId="77777777" w:rsidR="00F02C71" w:rsidRDefault="00F02C71">
      <w:pPr>
        <w:rPr>
          <w:rFonts w:ascii="Times New Roman" w:hAnsi="Times New Roman" w:cs="Times New Roman"/>
          <w:b/>
          <w:bCs/>
          <w:sz w:val="24"/>
          <w:szCs w:val="24"/>
        </w:rPr>
      </w:pPr>
    </w:p>
    <w:p w14:paraId="4D4E1653" w14:textId="77777777" w:rsidR="00F02C71" w:rsidRDefault="00F02C71">
      <w:pPr>
        <w:rPr>
          <w:rFonts w:ascii="Times New Roman" w:hAnsi="Times New Roman" w:cs="Times New Roman"/>
          <w:b/>
          <w:bCs/>
          <w:sz w:val="24"/>
          <w:szCs w:val="24"/>
        </w:rPr>
      </w:pPr>
    </w:p>
    <w:p w14:paraId="76AEADFA" w14:textId="77777777" w:rsidR="00F02C71" w:rsidRDefault="00F02C71">
      <w:pPr>
        <w:rPr>
          <w:rFonts w:ascii="Times New Roman" w:hAnsi="Times New Roman" w:cs="Times New Roman"/>
          <w:b/>
          <w:bCs/>
          <w:sz w:val="24"/>
          <w:szCs w:val="24"/>
        </w:rPr>
      </w:pPr>
    </w:p>
    <w:p w14:paraId="310B9204" w14:textId="77777777" w:rsidR="00F02C71" w:rsidRDefault="00F02C71">
      <w:pPr>
        <w:rPr>
          <w:rFonts w:ascii="Times New Roman" w:hAnsi="Times New Roman" w:cs="Times New Roman"/>
          <w:b/>
          <w:bCs/>
          <w:sz w:val="24"/>
          <w:szCs w:val="24"/>
        </w:rPr>
      </w:pPr>
    </w:p>
    <w:p w14:paraId="665475CA" w14:textId="77777777" w:rsidR="00F02C71" w:rsidRDefault="00F02C71">
      <w:pPr>
        <w:rPr>
          <w:rFonts w:ascii="Times New Roman" w:hAnsi="Times New Roman" w:cs="Times New Roman"/>
          <w:b/>
          <w:bCs/>
          <w:sz w:val="24"/>
          <w:szCs w:val="24"/>
        </w:rPr>
      </w:pPr>
    </w:p>
    <w:p w14:paraId="62A7E739" w14:textId="77777777" w:rsidR="00F02C71" w:rsidRDefault="00F02C71">
      <w:pPr>
        <w:rPr>
          <w:rFonts w:ascii="Times New Roman" w:hAnsi="Times New Roman" w:cs="Times New Roman"/>
          <w:b/>
          <w:bCs/>
          <w:sz w:val="24"/>
          <w:szCs w:val="24"/>
        </w:rPr>
      </w:pPr>
    </w:p>
    <w:p w14:paraId="67EFA80C" w14:textId="77777777" w:rsidR="00F02C71" w:rsidRDefault="00F02C71">
      <w:pPr>
        <w:rPr>
          <w:rFonts w:ascii="Times New Roman" w:hAnsi="Times New Roman" w:cs="Times New Roman"/>
          <w:b/>
          <w:bCs/>
          <w:sz w:val="24"/>
          <w:szCs w:val="24"/>
        </w:rPr>
      </w:pPr>
    </w:p>
    <w:p w14:paraId="03709053" w14:textId="77777777" w:rsidR="00F02C71" w:rsidRDefault="00F02C71">
      <w:pPr>
        <w:rPr>
          <w:rFonts w:ascii="Times New Roman" w:hAnsi="Times New Roman" w:cs="Times New Roman"/>
          <w:b/>
          <w:bCs/>
          <w:sz w:val="24"/>
          <w:szCs w:val="24"/>
        </w:rPr>
      </w:pPr>
    </w:p>
    <w:p w14:paraId="6D9F6858" w14:textId="77777777" w:rsidR="00F02C71" w:rsidRDefault="00F02C71">
      <w:pPr>
        <w:rPr>
          <w:rFonts w:ascii="Times New Roman" w:hAnsi="Times New Roman" w:cs="Times New Roman"/>
          <w:b/>
          <w:bCs/>
          <w:sz w:val="24"/>
          <w:szCs w:val="24"/>
        </w:rPr>
      </w:pPr>
    </w:p>
    <w:p w14:paraId="30CA002E" w14:textId="77777777" w:rsidR="00F02C71" w:rsidRDefault="00F02C71">
      <w:pPr>
        <w:rPr>
          <w:rFonts w:ascii="Times New Roman" w:hAnsi="Times New Roman" w:cs="Times New Roman"/>
          <w:b/>
          <w:bCs/>
          <w:sz w:val="24"/>
          <w:szCs w:val="24"/>
        </w:rPr>
      </w:pPr>
    </w:p>
    <w:p w14:paraId="4F6CA0C8" w14:textId="77777777" w:rsidR="00F02C71" w:rsidRDefault="00F02C71">
      <w:pPr>
        <w:rPr>
          <w:rFonts w:ascii="Times New Roman" w:hAnsi="Times New Roman" w:cs="Times New Roman"/>
          <w:b/>
          <w:bCs/>
          <w:sz w:val="24"/>
          <w:szCs w:val="24"/>
        </w:rPr>
      </w:pPr>
    </w:p>
    <w:p w14:paraId="465FFFFC" w14:textId="77777777" w:rsidR="00F02C71" w:rsidRDefault="00F02C71">
      <w:pPr>
        <w:rPr>
          <w:rFonts w:ascii="Times New Roman" w:hAnsi="Times New Roman" w:cs="Times New Roman"/>
          <w:b/>
          <w:bCs/>
          <w:sz w:val="24"/>
          <w:szCs w:val="24"/>
        </w:rPr>
      </w:pPr>
    </w:p>
    <w:p w14:paraId="62C4F83F" w14:textId="77777777" w:rsidR="00F02C71" w:rsidRDefault="00F02C71">
      <w:pPr>
        <w:rPr>
          <w:rFonts w:ascii="Times New Roman" w:hAnsi="Times New Roman" w:cs="Times New Roman"/>
          <w:b/>
          <w:bCs/>
          <w:sz w:val="24"/>
          <w:szCs w:val="24"/>
        </w:rPr>
      </w:pPr>
    </w:p>
    <w:p w14:paraId="422CFD89" w14:textId="77777777" w:rsidR="00F02C71" w:rsidRDefault="00F02C71">
      <w:pPr>
        <w:rPr>
          <w:rFonts w:ascii="Times New Roman" w:hAnsi="Times New Roman" w:cs="Times New Roman"/>
          <w:b/>
          <w:bCs/>
          <w:sz w:val="24"/>
          <w:szCs w:val="24"/>
        </w:rPr>
      </w:pPr>
    </w:p>
    <w:p w14:paraId="577BAEBA" w14:textId="77777777" w:rsidR="00F02C71" w:rsidRDefault="00F02C71">
      <w:pPr>
        <w:rPr>
          <w:rFonts w:ascii="Times New Roman" w:hAnsi="Times New Roman" w:cs="Times New Roman"/>
          <w:b/>
          <w:bCs/>
          <w:sz w:val="24"/>
          <w:szCs w:val="24"/>
        </w:rPr>
      </w:pPr>
    </w:p>
    <w:p w14:paraId="555FA748" w14:textId="77777777" w:rsidR="00F02C71" w:rsidRDefault="00F02C71">
      <w:pPr>
        <w:rPr>
          <w:rFonts w:ascii="Times New Roman" w:hAnsi="Times New Roman" w:cs="Times New Roman"/>
          <w:b/>
          <w:bCs/>
          <w:sz w:val="24"/>
          <w:szCs w:val="24"/>
        </w:rPr>
      </w:pPr>
    </w:p>
    <w:p w14:paraId="36714683" w14:textId="77777777" w:rsidR="00F02C71" w:rsidRDefault="00F02C71">
      <w:pPr>
        <w:rPr>
          <w:rFonts w:ascii="Times New Roman" w:hAnsi="Times New Roman" w:cs="Times New Roman"/>
          <w:b/>
          <w:bCs/>
          <w:sz w:val="24"/>
          <w:szCs w:val="24"/>
        </w:rPr>
      </w:pPr>
    </w:p>
    <w:p w14:paraId="6311A3E3" w14:textId="77777777" w:rsidR="00F02C71" w:rsidRDefault="00F02C71">
      <w:pPr>
        <w:rPr>
          <w:rFonts w:ascii="Times New Roman" w:hAnsi="Times New Roman" w:cs="Times New Roman"/>
          <w:b/>
          <w:bCs/>
          <w:sz w:val="24"/>
          <w:szCs w:val="24"/>
        </w:rPr>
      </w:pPr>
    </w:p>
    <w:p w14:paraId="5F8771DD" w14:textId="77777777" w:rsidR="00F02C71" w:rsidRDefault="00F02C71">
      <w:pPr>
        <w:rPr>
          <w:rFonts w:ascii="Times New Roman" w:hAnsi="Times New Roman" w:cs="Times New Roman"/>
          <w:b/>
          <w:bCs/>
          <w:sz w:val="24"/>
          <w:szCs w:val="24"/>
        </w:rPr>
      </w:pPr>
    </w:p>
    <w:p w14:paraId="1D50A32D" w14:textId="77777777" w:rsidR="00F02C71" w:rsidRDefault="00F02C71">
      <w:pPr>
        <w:rPr>
          <w:rFonts w:ascii="Times New Roman" w:hAnsi="Times New Roman" w:cs="Times New Roman"/>
          <w:b/>
          <w:bCs/>
          <w:sz w:val="24"/>
          <w:szCs w:val="24"/>
        </w:rPr>
      </w:pPr>
    </w:p>
    <w:p w14:paraId="42B21838" w14:textId="6A280B91" w:rsidR="008A3F78" w:rsidRPr="00F02C71" w:rsidRDefault="008A3F78" w:rsidP="00F02C71">
      <w:pPr>
        <w:jc w:val="center"/>
        <w:rPr>
          <w:rFonts w:ascii="Times New Roman" w:hAnsi="Times New Roman" w:cs="Times New Roman"/>
          <w:b/>
          <w:bCs/>
          <w:sz w:val="24"/>
          <w:szCs w:val="24"/>
        </w:rPr>
      </w:pPr>
      <w:r w:rsidRPr="00F02C71">
        <w:rPr>
          <w:rFonts w:ascii="Times New Roman" w:hAnsi="Times New Roman" w:cs="Times New Roman"/>
          <w:b/>
          <w:bCs/>
          <w:sz w:val="24"/>
          <w:szCs w:val="24"/>
        </w:rPr>
        <w:lastRenderedPageBreak/>
        <w:t>References</w:t>
      </w:r>
    </w:p>
    <w:p w14:paraId="234367E6" w14:textId="2B241519" w:rsidR="005B7397" w:rsidRPr="00F02C71" w:rsidRDefault="005B7397" w:rsidP="00F02C71">
      <w:pPr>
        <w:ind w:left="720" w:hanging="720"/>
        <w:rPr>
          <w:rFonts w:ascii="Times New Roman" w:hAnsi="Times New Roman" w:cs="Times New Roman"/>
          <w:b/>
          <w:bCs/>
          <w:sz w:val="24"/>
          <w:szCs w:val="24"/>
        </w:rPr>
      </w:pPr>
      <w:r w:rsidRPr="00F02C71">
        <w:rPr>
          <w:rFonts w:ascii="Times New Roman" w:eastAsia="Arial Unicode MS" w:hAnsi="Times New Roman" w:cs="Times New Roman"/>
          <w:color w:val="000000"/>
          <w:sz w:val="24"/>
          <w:szCs w:val="24"/>
          <w:shd w:val="clear" w:color="auto" w:fill="FFFFFF"/>
        </w:rPr>
        <w:t>CCH Australia Limited. (2013). </w:t>
      </w:r>
      <w:r w:rsidRPr="00F02C71">
        <w:rPr>
          <w:rFonts w:ascii="Times New Roman" w:eastAsia="Arial Unicode MS" w:hAnsi="Times New Roman" w:cs="Times New Roman"/>
          <w:i/>
          <w:iCs/>
          <w:color w:val="000000"/>
          <w:sz w:val="24"/>
          <w:szCs w:val="24"/>
          <w:shd w:val="clear" w:color="auto" w:fill="FFFFFF"/>
        </w:rPr>
        <w:t>Australian estate planning</w:t>
      </w:r>
      <w:r w:rsidRPr="00F02C71">
        <w:rPr>
          <w:rFonts w:ascii="Times New Roman" w:eastAsia="Arial Unicode MS" w:hAnsi="Times New Roman" w:cs="Times New Roman"/>
          <w:color w:val="000000"/>
          <w:sz w:val="24"/>
          <w:szCs w:val="24"/>
          <w:shd w:val="clear" w:color="auto" w:fill="FFFFFF"/>
        </w:rPr>
        <w:t>. North Ryde, N.S.W: CCH Australia.</w:t>
      </w:r>
    </w:p>
    <w:p w14:paraId="313630F3" w14:textId="3F87B71F" w:rsidR="008A3F78" w:rsidRPr="00F02C71" w:rsidRDefault="005B7397" w:rsidP="00F02C71">
      <w:pPr>
        <w:ind w:left="720" w:hanging="720"/>
        <w:rPr>
          <w:rFonts w:ascii="Times New Roman" w:hAnsi="Times New Roman" w:cs="Times New Roman"/>
          <w:b/>
          <w:bCs/>
          <w:sz w:val="24"/>
          <w:szCs w:val="24"/>
        </w:rPr>
      </w:pPr>
      <w:r w:rsidRPr="00F02C71">
        <w:rPr>
          <w:rFonts w:ascii="Times New Roman" w:eastAsia="Arial Unicode MS" w:hAnsi="Times New Roman" w:cs="Times New Roman"/>
          <w:color w:val="000000"/>
          <w:sz w:val="24"/>
          <w:szCs w:val="24"/>
          <w:shd w:val="clear" w:color="auto" w:fill="FFFFFF"/>
        </w:rPr>
        <w:t>Kessler, J., &amp; Flynn, M. T. (2008). </w:t>
      </w:r>
      <w:r w:rsidRPr="00F02C71">
        <w:rPr>
          <w:rFonts w:ascii="Times New Roman" w:eastAsia="Arial Unicode MS" w:hAnsi="Times New Roman" w:cs="Times New Roman"/>
          <w:i/>
          <w:iCs/>
          <w:color w:val="000000"/>
          <w:sz w:val="24"/>
          <w:szCs w:val="24"/>
          <w:shd w:val="clear" w:color="auto" w:fill="FFFFFF"/>
        </w:rPr>
        <w:t>Drafting Trusts and Will Trusts in Australia</w:t>
      </w:r>
      <w:r w:rsidRPr="00F02C71">
        <w:rPr>
          <w:rFonts w:ascii="Times New Roman" w:eastAsia="Arial Unicode MS" w:hAnsi="Times New Roman" w:cs="Times New Roman"/>
          <w:color w:val="000000"/>
          <w:sz w:val="24"/>
          <w:szCs w:val="24"/>
          <w:shd w:val="clear" w:color="auto" w:fill="FFFFFF"/>
        </w:rPr>
        <w:t>. Pyrmont: Thomson Legal &amp; Regulatory - Asia Pacific.</w:t>
      </w:r>
    </w:p>
    <w:sectPr w:rsidR="008A3F78" w:rsidRPr="00F02C71" w:rsidSect="00F02C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354A0B" w14:textId="77777777" w:rsidR="007E5383" w:rsidRDefault="007E5383" w:rsidP="00F02C71">
      <w:pPr>
        <w:spacing w:after="0" w:line="240" w:lineRule="auto"/>
      </w:pPr>
      <w:r>
        <w:separator/>
      </w:r>
    </w:p>
  </w:endnote>
  <w:endnote w:type="continuationSeparator" w:id="0">
    <w:p w14:paraId="7A53AE6F" w14:textId="77777777" w:rsidR="007E5383" w:rsidRDefault="007E5383" w:rsidP="00F0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54EC57" w14:textId="77777777" w:rsidR="007E5383" w:rsidRDefault="007E5383" w:rsidP="00F02C71">
      <w:pPr>
        <w:spacing w:after="0" w:line="240" w:lineRule="auto"/>
      </w:pPr>
      <w:r>
        <w:separator/>
      </w:r>
    </w:p>
  </w:footnote>
  <w:footnote w:type="continuationSeparator" w:id="0">
    <w:p w14:paraId="73A5922D" w14:textId="77777777" w:rsidR="007E5383" w:rsidRDefault="007E5383" w:rsidP="00F0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51890" w14:textId="66BC23FA" w:rsidR="00F02C71" w:rsidRPr="00F02C71" w:rsidRDefault="00F02C71">
    <w:pPr>
      <w:pStyle w:val="Header"/>
      <w:jc w:val="right"/>
      <w:rPr>
        <w:rFonts w:ascii="Times New Roman" w:hAnsi="Times New Roman" w:cs="Times New Roman"/>
      </w:rPr>
    </w:pPr>
    <w:r w:rsidRPr="00F02C71">
      <w:rPr>
        <w:rFonts w:ascii="Times New Roman" w:hAnsi="Times New Roman" w:cs="Times New Roman"/>
      </w:rPr>
      <w:t>Australian Law</w:t>
    </w:r>
    <w:r w:rsidRPr="00F02C71">
      <w:rPr>
        <w:rFonts w:ascii="Times New Roman" w:hAnsi="Times New Roman" w:cs="Times New Roman"/>
      </w:rPr>
      <w:tab/>
    </w:r>
    <w:r w:rsidRPr="00F02C71">
      <w:rPr>
        <w:rFonts w:ascii="Times New Roman" w:hAnsi="Times New Roman" w:cs="Times New Roman"/>
      </w:rPr>
      <w:tab/>
    </w:r>
    <w:sdt>
      <w:sdtPr>
        <w:rPr>
          <w:rFonts w:ascii="Times New Roman" w:hAnsi="Times New Roman" w:cs="Times New Roman"/>
        </w:rPr>
        <w:id w:val="938347042"/>
        <w:docPartObj>
          <w:docPartGallery w:val="Page Numbers (Top of Page)"/>
          <w:docPartUnique/>
        </w:docPartObj>
      </w:sdtPr>
      <w:sdtEndPr>
        <w:rPr>
          <w:noProof/>
        </w:rPr>
      </w:sdtEndPr>
      <w:sdtContent>
        <w:r w:rsidRPr="00F02C71">
          <w:rPr>
            <w:rFonts w:ascii="Times New Roman" w:hAnsi="Times New Roman" w:cs="Times New Roman"/>
          </w:rPr>
          <w:fldChar w:fldCharType="begin"/>
        </w:r>
        <w:r w:rsidRPr="00F02C71">
          <w:rPr>
            <w:rFonts w:ascii="Times New Roman" w:hAnsi="Times New Roman" w:cs="Times New Roman"/>
          </w:rPr>
          <w:instrText xml:space="preserve"> PAGE   \* MERGEFORMAT </w:instrText>
        </w:r>
        <w:r w:rsidRPr="00F02C71">
          <w:rPr>
            <w:rFonts w:ascii="Times New Roman" w:hAnsi="Times New Roman" w:cs="Times New Roman"/>
          </w:rPr>
          <w:fldChar w:fldCharType="separate"/>
        </w:r>
        <w:r w:rsidRPr="00F02C71">
          <w:rPr>
            <w:rFonts w:ascii="Times New Roman" w:hAnsi="Times New Roman" w:cs="Times New Roman"/>
            <w:noProof/>
          </w:rPr>
          <w:t>2</w:t>
        </w:r>
        <w:r w:rsidRPr="00F02C71">
          <w:rPr>
            <w:rFonts w:ascii="Times New Roman" w:hAnsi="Times New Roman" w:cs="Times New Roman"/>
            <w:noProof/>
          </w:rPr>
          <w:fldChar w:fldCharType="end"/>
        </w:r>
      </w:sdtContent>
    </w:sdt>
  </w:p>
  <w:p w14:paraId="626C2B22" w14:textId="77777777" w:rsidR="00F02C71" w:rsidRDefault="00F02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C7816" w14:textId="6B44B1B5" w:rsidR="00F02C71" w:rsidRPr="00F02C71" w:rsidRDefault="00F02C71">
    <w:pPr>
      <w:pStyle w:val="Header"/>
      <w:rPr>
        <w:rFonts w:ascii="Times New Roman" w:hAnsi="Times New Roman" w:cs="Times New Roman"/>
      </w:rPr>
    </w:pPr>
    <w:r w:rsidRPr="00F02C71">
      <w:rPr>
        <w:rFonts w:ascii="Times New Roman" w:hAnsi="Times New Roman" w:cs="Times New Roman"/>
      </w:rPr>
      <w:t>Running head: Australian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91"/>
    <w:rsid w:val="003C628A"/>
    <w:rsid w:val="003D16A1"/>
    <w:rsid w:val="0050307D"/>
    <w:rsid w:val="005B7397"/>
    <w:rsid w:val="006513AF"/>
    <w:rsid w:val="00720D91"/>
    <w:rsid w:val="007E5383"/>
    <w:rsid w:val="008A3F78"/>
    <w:rsid w:val="009D3ED9"/>
    <w:rsid w:val="00AE3298"/>
    <w:rsid w:val="00C12483"/>
    <w:rsid w:val="00D30701"/>
    <w:rsid w:val="00DB2267"/>
    <w:rsid w:val="00E12FB0"/>
    <w:rsid w:val="00F0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7D786"/>
  <w15:chartTrackingRefBased/>
  <w15:docId w15:val="{00E7CDA6-48F4-4C2D-B48D-91E41224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C71"/>
  </w:style>
  <w:style w:type="paragraph" w:styleId="Footer">
    <w:name w:val="footer"/>
    <w:basedOn w:val="Normal"/>
    <w:link w:val="FooterChar"/>
    <w:uiPriority w:val="99"/>
    <w:unhideWhenUsed/>
    <w:rsid w:val="00F02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2020-05-17T20:19:00Z</dcterms:created>
  <dcterms:modified xsi:type="dcterms:W3CDTF">2020-05-18T01:09:00Z</dcterms:modified>
</cp:coreProperties>
</file>